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18"/>
        </w:rPr>
        <w:t>文件编号：QP-002</w:t>
      </w:r>
    </w:p>
    <w:p>
      <w:r>
        <w:rPr>
          <w:b/>
          <w:sz w:val="18"/>
        </w:rPr>
        <w:t>版    本：A/0</w:t>
      </w:r>
    </w:p>
    <w:p>
      <w:r>
        <w:rPr>
          <w:b/>
          <w:sz w:val="18"/>
        </w:rPr>
        <w:t>生效日期：2026-03-25</w:t>
      </w:r>
    </w:p>
    <w:p>
      <w:r>
        <w:rPr>
          <w:b/>
          <w:sz w:val="18"/>
        </w:rPr>
        <w:t>页    码：第 1 页 共 6 页</w:t>
      </w:r>
    </w:p>
    <w:p/>
    <w:p>
      <w:pPr>
        <w:pStyle w:val="Title"/>
        <w:jc w:val="center"/>
      </w:pPr>
      <w:r>
        <w:t>记录控制程序</w:t>
      </w:r>
    </w:p>
    <w:p/>
    <w:p>
      <w:pPr>
        <w:pStyle w:val="Heading1"/>
      </w:pPr>
      <w:r>
        <w:t>1. 目的</w:t>
      </w:r>
    </w:p>
    <w:p>
      <w:r>
        <w:t>为规范质量管理体系记录的标识、贮存、保护、检索、保存期限和处置要求，确保记录完整、清晰、可追溯，为产品质量符合要求和质量管理体系有效运行提供客观证据，特制定本程序。</w:t>
      </w:r>
    </w:p>
    <w:p>
      <w:pPr>
        <w:pStyle w:val="Heading1"/>
      </w:pPr>
      <w:r>
        <w:t>2. 范围</w:t>
      </w:r>
    </w:p>
    <w:p>
      <w:r>
        <w:t>本程序适用于公司内所有与质量管理体系相关的记录控制，包括但不限于：</w:t>
      </w:r>
    </w:p>
    <w:p>
      <w:pPr>
        <w:pStyle w:val="ListBullet"/>
      </w:pPr>
      <w:r>
        <w:t>质量管理体系运行记录</w:t>
      </w:r>
    </w:p>
    <w:p>
      <w:pPr>
        <w:pStyle w:val="ListBullet"/>
      </w:pPr>
      <w:r>
        <w:t>管理评审记录</w:t>
      </w:r>
    </w:p>
    <w:p>
      <w:pPr>
        <w:pStyle w:val="ListBullet"/>
      </w:pPr>
      <w:r>
        <w:t>内部审核记录</w:t>
      </w:r>
    </w:p>
    <w:p>
      <w:pPr>
        <w:pStyle w:val="ListBullet"/>
      </w:pPr>
      <w:r>
        <w:t>产品检验和试验记录</w:t>
      </w:r>
    </w:p>
    <w:p>
      <w:pPr>
        <w:pStyle w:val="ListBullet"/>
      </w:pPr>
      <w:r>
        <w:t>过程监控记录</w:t>
      </w:r>
    </w:p>
    <w:p>
      <w:pPr>
        <w:pStyle w:val="ListBullet"/>
      </w:pPr>
      <w:r>
        <w:t>设备维护记录</w:t>
      </w:r>
    </w:p>
    <w:p>
      <w:pPr>
        <w:pStyle w:val="ListBullet"/>
      </w:pPr>
      <w:r>
        <w:t>培训记录</w:t>
      </w:r>
    </w:p>
    <w:p>
      <w:pPr>
        <w:pStyle w:val="ListBullet"/>
      </w:pPr>
      <w:r>
        <w:t>客户投诉和处理记录</w:t>
      </w:r>
    </w:p>
    <w:p>
      <w:pPr>
        <w:pStyle w:val="ListBullet"/>
      </w:pPr>
      <w:r>
        <w:t>供应商管理记录</w:t>
      </w:r>
    </w:p>
    <w:p>
      <w:pPr>
        <w:pStyle w:val="ListBullet"/>
      </w:pPr>
      <w:r>
        <w:t>纠正和预防措施记录</w:t>
      </w:r>
    </w:p>
    <w:p>
      <w:pPr>
        <w:pStyle w:val="Heading1"/>
      </w:pPr>
      <w:r>
        <w:t>3. 术语和定义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156"/>
        <w:gridCol w:w="4156"/>
      </w:tblGrid>
      <w:tr>
        <w:tc>
          <w:tcPr>
            <w:tcW w:type="dxa" w:w="4156"/>
          </w:tcPr>
          <w:p>
            <w:r>
              <w:t>术语</w:t>
            </w:r>
          </w:p>
        </w:tc>
        <w:tc>
          <w:tcPr>
            <w:tcW w:type="dxa" w:w="4156"/>
          </w:tcPr>
          <w:p>
            <w:r>
              <w:t>定义</w:t>
            </w:r>
          </w:p>
        </w:tc>
      </w:tr>
      <w:tr>
        <w:tc>
          <w:tcPr>
            <w:tcW w:type="dxa" w:w="4156"/>
          </w:tcPr>
          <w:p>
            <w:r>
              <w:t>记录</w:t>
            </w:r>
          </w:p>
        </w:tc>
        <w:tc>
          <w:tcPr>
            <w:tcW w:type="dxa" w:w="4156"/>
          </w:tcPr>
          <w:p>
            <w:r>
              <w:t>阐明所取得的结果或提供所完成活动的证据的文件</w:t>
            </w:r>
          </w:p>
        </w:tc>
      </w:tr>
      <w:tr>
        <w:tc>
          <w:tcPr>
            <w:tcW w:type="dxa" w:w="4156"/>
          </w:tcPr>
          <w:p>
            <w:r>
              <w:t>质量记录</w:t>
            </w:r>
          </w:p>
        </w:tc>
        <w:tc>
          <w:tcPr>
            <w:tcW w:type="dxa" w:w="4156"/>
          </w:tcPr>
          <w:p>
            <w:r>
              <w:t>为证明产品、过程和质量体系符合要求及有效运行而形成的记录</w:t>
            </w:r>
          </w:p>
        </w:tc>
      </w:tr>
      <w:tr>
        <w:tc>
          <w:tcPr>
            <w:tcW w:type="dxa" w:w="4156"/>
          </w:tcPr>
          <w:p>
            <w:r>
              <w:t>保存期限</w:t>
            </w:r>
          </w:p>
        </w:tc>
        <w:tc>
          <w:tcPr>
            <w:tcW w:type="dxa" w:w="4156"/>
          </w:tcPr>
          <w:p>
            <w:r>
              <w:t>记录按规定要求保存的时间长度</w:t>
            </w:r>
          </w:p>
        </w:tc>
      </w:tr>
    </w:tbl>
    <w:p/>
    <w:p>
      <w:pPr>
        <w:pStyle w:val="Heading1"/>
      </w:pPr>
      <w:r>
        <w:t>4. 职责</w:t>
      </w:r>
    </w:p>
    <w:p>
      <w:pPr>
        <w:pStyle w:val="Heading2"/>
      </w:pPr>
      <w:r>
        <w:t>4.1 质量部</w:t>
      </w:r>
    </w:p>
    <w:p>
      <w:pPr>
        <w:pStyle w:val="ListBullet"/>
      </w:pPr>
      <w:r>
        <w:t>负责本程序的归口管理</w:t>
      </w:r>
    </w:p>
    <w:p>
      <w:pPr>
        <w:pStyle w:val="ListBullet"/>
      </w:pPr>
      <w:r>
        <w:t>负责质量记录的监督和检查</w:t>
      </w:r>
    </w:p>
    <w:p>
      <w:pPr>
        <w:pStyle w:val="ListBullet"/>
      </w:pPr>
      <w:r>
        <w:t>确定记录的保存期限</w:t>
      </w:r>
    </w:p>
    <w:p>
      <w:pPr>
        <w:pStyle w:val="ListBullet"/>
      </w:pPr>
      <w:r>
        <w:t>组织记录的定期评审</w:t>
      </w:r>
    </w:p>
    <w:p>
      <w:pPr>
        <w:pStyle w:val="Heading2"/>
      </w:pPr>
      <w:r>
        <w:t>4.2 文控中心（DCC）</w:t>
      </w:r>
    </w:p>
    <w:p>
      <w:pPr>
        <w:pStyle w:val="ListBullet"/>
      </w:pPr>
      <w:r>
        <w:t>负责空白记录表格的发放</w:t>
      </w:r>
    </w:p>
    <w:p>
      <w:pPr>
        <w:pStyle w:val="ListBullet"/>
      </w:pPr>
      <w:r>
        <w:t>负责归档记录的统一管理</w:t>
      </w:r>
    </w:p>
    <w:p>
      <w:pPr>
        <w:pStyle w:val="Heading2"/>
      </w:pPr>
      <w:r>
        <w:t>4.3 各部门</w:t>
      </w:r>
    </w:p>
    <w:p>
      <w:pPr>
        <w:pStyle w:val="ListBullet"/>
      </w:pPr>
      <w:r>
        <w:t>负责本部门记录的填写、收集、整理和保管</w:t>
      </w:r>
    </w:p>
    <w:p>
      <w:pPr>
        <w:pStyle w:val="ListBullet"/>
      </w:pPr>
      <w:r>
        <w:t>确保记录真实、完整、清晰、及时</w:t>
      </w:r>
    </w:p>
    <w:p>
      <w:pPr>
        <w:pStyle w:val="ListBullet"/>
      </w:pPr>
      <w:r>
        <w:t>按规定期限保存和处置记录</w:t>
      </w:r>
    </w:p>
    <w:p>
      <w:pPr>
        <w:pStyle w:val="Heading2"/>
      </w:pPr>
      <w:r>
        <w:t>4.4 档案室</w:t>
      </w:r>
    </w:p>
    <w:p>
      <w:pPr>
        <w:pStyle w:val="ListBullet"/>
      </w:pPr>
      <w:r>
        <w:t>负责到期记录的归档管理</w:t>
      </w:r>
    </w:p>
    <w:p>
      <w:pPr>
        <w:pStyle w:val="ListBullet"/>
      </w:pPr>
      <w:r>
        <w:t>负责记录的销毁执行</w:t>
      </w:r>
    </w:p>
    <w:p/>
    <w:p>
      <w:pPr>
        <w:pStyle w:val="Heading1"/>
      </w:pPr>
      <w:r>
        <w:t>5. 工作程序</w:t>
      </w:r>
    </w:p>
    <w:p>
      <w:pPr>
        <w:pStyle w:val="Heading2"/>
      </w:pPr>
      <w:r>
        <w:t>5.1 记录的分类与编号</w:t>
      </w:r>
    </w:p>
    <w:p>
      <w:pPr>
        <w:pStyle w:val="Heading3"/>
      </w:pPr>
      <w:r>
        <w:t>5.1.1 记录分类</w:t>
      </w:r>
    </w:p>
    <w:p>
      <w:pPr>
        <w:pStyle w:val="ListBullet"/>
      </w:pPr>
      <w:r>
        <w:t>体系运行记录：管理评审、内部审核、文件控制等</w:t>
      </w:r>
    </w:p>
    <w:p>
      <w:pPr>
        <w:pStyle w:val="ListBullet"/>
      </w:pPr>
      <w:r>
        <w:t>产品实现记录：设计开发、采购、生产、检验等</w:t>
      </w:r>
    </w:p>
    <w:p>
      <w:pPr>
        <w:pStyle w:val="ListBullet"/>
      </w:pPr>
      <w:r>
        <w:t>测量分析改进记录：数据分析、纠正预防、持续改进等</w:t>
      </w:r>
    </w:p>
    <w:p>
      <w:pPr>
        <w:pStyle w:val="Heading3"/>
      </w:pPr>
      <w:r>
        <w:t>5.1.2 记录编号规则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71"/>
        <w:gridCol w:w="2771"/>
        <w:gridCol w:w="2771"/>
      </w:tblGrid>
      <w:tr>
        <w:tc>
          <w:tcPr>
            <w:tcW w:type="dxa" w:w="2771"/>
          </w:tcPr>
          <w:p>
            <w:r>
              <w:t>记录类型</w:t>
            </w:r>
          </w:p>
        </w:tc>
        <w:tc>
          <w:tcPr>
            <w:tcW w:type="dxa" w:w="2771"/>
          </w:tcPr>
          <w:p>
            <w:r>
              <w:t>编号格式</w:t>
            </w:r>
          </w:p>
        </w:tc>
        <w:tc>
          <w:tcPr>
            <w:tcW w:type="dxa" w:w="2771"/>
          </w:tcPr>
          <w:p>
            <w:r>
              <w:t>示例</w:t>
            </w:r>
          </w:p>
        </w:tc>
      </w:tr>
      <w:tr>
        <w:tc>
          <w:tcPr>
            <w:tcW w:type="dxa" w:w="2771"/>
          </w:tcPr>
          <w:p>
            <w:r>
              <w:t>管理评审记录</w:t>
            </w:r>
          </w:p>
        </w:tc>
        <w:tc>
          <w:tcPr>
            <w:tcW w:type="dxa" w:w="2771"/>
          </w:tcPr>
          <w:p>
            <w:r>
              <w:t>MR-年份 - 序号</w:t>
            </w:r>
          </w:p>
        </w:tc>
        <w:tc>
          <w:tcPr>
            <w:tcW w:type="dxa" w:w="2771"/>
          </w:tcPr>
          <w:p>
            <w:r>
              <w:t>MR-2026-001</w:t>
            </w:r>
          </w:p>
        </w:tc>
      </w:tr>
      <w:tr>
        <w:tc>
          <w:tcPr>
            <w:tcW w:type="dxa" w:w="2771"/>
          </w:tcPr>
          <w:p>
            <w:r>
              <w:t>内部审核记录</w:t>
            </w:r>
          </w:p>
        </w:tc>
        <w:tc>
          <w:tcPr>
            <w:tcW w:type="dxa" w:w="2771"/>
          </w:tcPr>
          <w:p>
            <w:r>
              <w:t>AR-年份 - 序号</w:t>
            </w:r>
          </w:p>
        </w:tc>
        <w:tc>
          <w:tcPr>
            <w:tcW w:type="dxa" w:w="2771"/>
          </w:tcPr>
          <w:p>
            <w:r>
              <w:t>AR-2026-001</w:t>
            </w:r>
          </w:p>
        </w:tc>
      </w:tr>
      <w:tr>
        <w:tc>
          <w:tcPr>
            <w:tcW w:type="dxa" w:w="2771"/>
          </w:tcPr>
          <w:p>
            <w:r>
              <w:t>检验记录</w:t>
            </w:r>
          </w:p>
        </w:tc>
        <w:tc>
          <w:tcPr>
            <w:tcW w:type="dxa" w:w="2771"/>
          </w:tcPr>
          <w:p>
            <w:r>
              <w:t>IR-部门 - 序号</w:t>
            </w:r>
          </w:p>
        </w:tc>
        <w:tc>
          <w:tcPr>
            <w:tcW w:type="dxa" w:w="2771"/>
          </w:tcPr>
          <w:p>
            <w:r>
              <w:t>IR-QC-001</w:t>
            </w:r>
          </w:p>
        </w:tc>
      </w:tr>
      <w:tr>
        <w:tc>
          <w:tcPr>
            <w:tcW w:type="dxa" w:w="2771"/>
          </w:tcPr>
          <w:p>
            <w:r>
              <w:t>培训记录</w:t>
            </w:r>
          </w:p>
        </w:tc>
        <w:tc>
          <w:tcPr>
            <w:tcW w:type="dxa" w:w="2771"/>
          </w:tcPr>
          <w:p>
            <w:r>
              <w:t>TR-年份 - 序号</w:t>
            </w:r>
          </w:p>
        </w:tc>
        <w:tc>
          <w:tcPr>
            <w:tcW w:type="dxa" w:w="2771"/>
          </w:tcPr>
          <w:p>
            <w:r>
              <w:t>TR-2026-001</w:t>
            </w:r>
          </w:p>
        </w:tc>
      </w:tr>
    </w:tbl>
    <w:p/>
    <w:p>
      <w:pPr>
        <w:pStyle w:val="Heading2"/>
      </w:pPr>
      <w:r>
        <w:t>5.2 记录的填写要求</w:t>
      </w:r>
    </w:p>
    <w:p>
      <w:pPr>
        <w:pStyle w:val="ListBullet"/>
      </w:pPr>
      <w:r>
        <w:t>记录应及时填写，内容真实、准确、完整</w:t>
      </w:r>
    </w:p>
    <w:p>
      <w:pPr>
        <w:pStyle w:val="ListBullet"/>
      </w:pPr>
      <w:r>
        <w:t>字迹清晰、工整，不易褪色</w:t>
      </w:r>
    </w:p>
    <w:p>
      <w:pPr>
        <w:pStyle w:val="ListBullet"/>
      </w:pPr>
      <w:r>
        <w:t>使用蓝色或黑色墨水笔填写，不得使用铅笔</w:t>
      </w:r>
    </w:p>
    <w:p>
      <w:pPr>
        <w:pStyle w:val="ListBullet"/>
      </w:pPr>
      <w:r>
        <w:t>填写人应签名或盖章，并注明日期</w:t>
      </w:r>
    </w:p>
    <w:p>
      <w:pPr>
        <w:pStyle w:val="ListBullet"/>
      </w:pPr>
      <w:r>
        <w:t>不得随意涂改，如需修改，应划改并签名确认</w:t>
      </w:r>
    </w:p>
    <w:p>
      <w:pPr>
        <w:pStyle w:val="ListBullet"/>
      </w:pPr>
      <w:r>
        <w:t>电子记录应防止未经授权的修改</w:t>
      </w:r>
    </w:p>
    <w:p>
      <w:pPr>
        <w:pStyle w:val="Heading2"/>
      </w:pPr>
      <w:r>
        <w:t>5.3 记录的收集与整理</w:t>
      </w:r>
    </w:p>
    <w:p>
      <w:pPr>
        <w:pStyle w:val="ListBullet"/>
      </w:pPr>
      <w:r>
        <w:t>各部门指定专人负责记录的收集和整理</w:t>
      </w:r>
    </w:p>
    <w:p>
      <w:pPr>
        <w:pStyle w:val="ListBullet"/>
      </w:pPr>
      <w:r>
        <w:t>记录应按类别、时间顺序进行分类整理</w:t>
      </w:r>
    </w:p>
    <w:p>
      <w:pPr>
        <w:pStyle w:val="ListBullet"/>
      </w:pPr>
      <w:r>
        <w:t>定期（每月/每季度）对记录进行汇总</w:t>
      </w:r>
    </w:p>
    <w:p>
      <w:pPr>
        <w:pStyle w:val="ListBullet"/>
      </w:pPr>
      <w:r>
        <w:t>重要记录应及时复印备份</w:t>
      </w:r>
    </w:p>
    <w:p/>
    <w:p>
      <w:pPr>
        <w:pStyle w:val="Heading2"/>
      </w:pPr>
      <w:r>
        <w:t>5.4 记录的贮存与保护</w:t>
      </w:r>
    </w:p>
    <w:p>
      <w:pPr>
        <w:pStyle w:val="Heading3"/>
      </w:pPr>
      <w:r>
        <w:t>5.4.1 贮存环境</w:t>
      </w:r>
    </w:p>
    <w:p>
      <w:pPr>
        <w:pStyle w:val="ListBullet"/>
      </w:pPr>
      <w:r>
        <w:t>记录应存放于干燥、通风、防火、防潮、防虫的环境中</w:t>
      </w:r>
    </w:p>
    <w:p>
      <w:pPr>
        <w:pStyle w:val="ListBullet"/>
      </w:pPr>
      <w:r>
        <w:t>电子记录应存储在公司指定的服务器或存储设备</w:t>
      </w:r>
    </w:p>
    <w:p>
      <w:pPr>
        <w:pStyle w:val="ListBullet"/>
      </w:pPr>
      <w:r>
        <w:t>重要记录应异地备份，防止灾害损失</w:t>
      </w:r>
    </w:p>
    <w:p>
      <w:pPr>
        <w:pStyle w:val="ListBullet"/>
      </w:pPr>
      <w:r>
        <w:t>涉密记录应按保密要求妥善保管</w:t>
      </w:r>
    </w:p>
    <w:p>
      <w:pPr>
        <w:pStyle w:val="Heading3"/>
      </w:pPr>
      <w:r>
        <w:t>5.4.2 保护措施</w:t>
      </w:r>
    </w:p>
    <w:p>
      <w:pPr>
        <w:pStyle w:val="ListBullet"/>
      </w:pPr>
      <w:r>
        <w:t>纸质记录应装订成册，加盖部门印章</w:t>
      </w:r>
    </w:p>
    <w:p>
      <w:pPr>
        <w:pStyle w:val="ListBullet"/>
      </w:pPr>
      <w:r>
        <w:t>电子记录应设置访问权限，防止未授权访问</w:t>
      </w:r>
    </w:p>
    <w:p>
      <w:pPr>
        <w:pStyle w:val="ListBullet"/>
      </w:pPr>
      <w:r>
        <w:t>定期检查记录贮存状况，发现损坏及时修复或复制</w:t>
      </w:r>
    </w:p>
    <w:p>
      <w:pPr>
        <w:pStyle w:val="ListBullet"/>
      </w:pPr>
      <w:r>
        <w:t>建立记录借阅登记制度</w:t>
      </w:r>
    </w:p>
    <w:p/>
    <w:p>
      <w:pPr>
        <w:pStyle w:val="Heading2"/>
      </w:pPr>
      <w:r>
        <w:t>5.5 记录的检索</w:t>
      </w:r>
    </w:p>
    <w:p>
      <w:pPr>
        <w:pStyle w:val="ListBullet"/>
      </w:pPr>
      <w:r>
        <w:t>建立记录索引或目录，便于检索</w:t>
      </w:r>
    </w:p>
    <w:p>
      <w:pPr>
        <w:pStyle w:val="ListBullet"/>
      </w:pPr>
      <w:r>
        <w:t>质量部建立《质量记录总清单》（FM-007）</w:t>
      </w:r>
    </w:p>
    <w:p>
      <w:pPr>
        <w:pStyle w:val="ListBullet"/>
      </w:pPr>
      <w:r>
        <w:t>各部门建立本部门记录清单</w:t>
      </w:r>
    </w:p>
    <w:p>
      <w:pPr>
        <w:pStyle w:val="ListBullet"/>
      </w:pPr>
      <w:r>
        <w:t>电子记录应建立数据库或文件夹索引</w:t>
      </w:r>
    </w:p>
    <w:p>
      <w:pPr>
        <w:pStyle w:val="ListBullet"/>
      </w:pPr>
      <w:r>
        <w:t>记录检索应在 5 分钟内完成</w:t>
      </w:r>
    </w:p>
    <w:p/>
    <w:p>
      <w:pPr>
        <w:pStyle w:val="Heading2"/>
      </w:pPr>
      <w:r>
        <w:t>5.6 记录的保存期限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71"/>
        <w:gridCol w:w="2771"/>
        <w:gridCol w:w="2771"/>
      </w:tblGrid>
      <w:tr>
        <w:tc>
          <w:tcPr>
            <w:tcW w:type="dxa" w:w="2771"/>
          </w:tcPr>
          <w:p>
            <w:r>
              <w:t>记录类型</w:t>
            </w:r>
          </w:p>
        </w:tc>
        <w:tc>
          <w:tcPr>
            <w:tcW w:type="dxa" w:w="2771"/>
          </w:tcPr>
          <w:p>
            <w:r>
              <w:t>保存期限</w:t>
            </w:r>
          </w:p>
        </w:tc>
        <w:tc>
          <w:tcPr>
            <w:tcW w:type="dxa" w:w="2771"/>
          </w:tcPr>
          <w:p>
            <w:r>
              <w:t>备注</w:t>
            </w:r>
          </w:p>
        </w:tc>
      </w:tr>
      <w:tr>
        <w:tc>
          <w:tcPr>
            <w:tcW w:type="dxa" w:w="2771"/>
          </w:tcPr>
          <w:p>
            <w:r>
              <w:t>管理评审记录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  <w:tc>
          <w:tcPr>
            <w:tcW w:type="dxa" w:w="2771"/>
          </w:tcPr>
          <w:p>
            <w:r/>
          </w:p>
        </w:tc>
      </w:tr>
      <w:tr>
        <w:tc>
          <w:tcPr>
            <w:tcW w:type="dxa" w:w="2771"/>
          </w:tcPr>
          <w:p>
            <w:r>
              <w:t>内部审核记录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  <w:tc>
          <w:tcPr>
            <w:tcW w:type="dxa" w:w="2771"/>
          </w:tcPr>
          <w:p>
            <w:r/>
          </w:p>
        </w:tc>
      </w:tr>
      <w:tr>
        <w:tc>
          <w:tcPr>
            <w:tcW w:type="dxa" w:w="2771"/>
          </w:tcPr>
          <w:p>
            <w:r>
              <w:t>产品检验记录</w:t>
            </w:r>
          </w:p>
        </w:tc>
        <w:tc>
          <w:tcPr>
            <w:tcW w:type="dxa" w:w="2771"/>
          </w:tcPr>
          <w:p>
            <w:r>
              <w:t>产品寿命期 +1 年</w:t>
            </w:r>
          </w:p>
        </w:tc>
        <w:tc>
          <w:tcPr>
            <w:tcW w:type="dxa" w:w="2771"/>
          </w:tcPr>
          <w:p>
            <w:r>
              <w:t>汽车行业至少 3 年</w:t>
            </w:r>
          </w:p>
        </w:tc>
      </w:tr>
      <w:tr>
        <w:tc>
          <w:tcPr>
            <w:tcW w:type="dxa" w:w="2771"/>
          </w:tcPr>
          <w:p>
            <w:r>
              <w:t>过程控制记录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  <w:tc>
          <w:tcPr>
            <w:tcW w:type="dxa" w:w="2771"/>
          </w:tcPr>
          <w:p>
            <w:r/>
          </w:p>
        </w:tc>
      </w:tr>
      <w:tr>
        <w:tc>
          <w:tcPr>
            <w:tcW w:type="dxa" w:w="2771"/>
          </w:tcPr>
          <w:p>
            <w:r>
              <w:t>设备维护记录</w:t>
            </w:r>
          </w:p>
        </w:tc>
        <w:tc>
          <w:tcPr>
            <w:tcW w:type="dxa" w:w="2771"/>
          </w:tcPr>
          <w:p>
            <w:r>
              <w:t>设备报废后 1 年</w:t>
            </w:r>
          </w:p>
        </w:tc>
        <w:tc>
          <w:tcPr>
            <w:tcW w:type="dxa" w:w="2771"/>
          </w:tcPr>
          <w:p>
            <w:r/>
          </w:p>
        </w:tc>
      </w:tr>
      <w:tr>
        <w:tc>
          <w:tcPr>
            <w:tcW w:type="dxa" w:w="2771"/>
          </w:tcPr>
          <w:p>
            <w:r>
              <w:t>培训记录</w:t>
            </w:r>
          </w:p>
        </w:tc>
        <w:tc>
          <w:tcPr>
            <w:tcW w:type="dxa" w:w="2771"/>
          </w:tcPr>
          <w:p>
            <w:r>
              <w:t>员工离职后 1 年</w:t>
            </w:r>
          </w:p>
        </w:tc>
        <w:tc>
          <w:tcPr>
            <w:tcW w:type="dxa" w:w="2771"/>
          </w:tcPr>
          <w:p>
            <w:r/>
          </w:p>
        </w:tc>
      </w:tr>
      <w:tr>
        <w:tc>
          <w:tcPr>
            <w:tcW w:type="dxa" w:w="2771"/>
          </w:tcPr>
          <w:p>
            <w:r>
              <w:t>客户投诉记录</w:t>
            </w:r>
          </w:p>
        </w:tc>
        <w:tc>
          <w:tcPr>
            <w:tcW w:type="dxa" w:w="2771"/>
          </w:tcPr>
          <w:p>
            <w:r>
              <w:t>5 年</w:t>
            </w:r>
          </w:p>
        </w:tc>
        <w:tc>
          <w:tcPr>
            <w:tcW w:type="dxa" w:w="2771"/>
          </w:tcPr>
          <w:p>
            <w:r/>
          </w:p>
        </w:tc>
      </w:tr>
      <w:tr>
        <w:tc>
          <w:tcPr>
            <w:tcW w:type="dxa" w:w="2771"/>
          </w:tcPr>
          <w:p>
            <w:r>
              <w:t>供应商管理记录</w:t>
            </w:r>
          </w:p>
        </w:tc>
        <w:tc>
          <w:tcPr>
            <w:tcW w:type="dxa" w:w="2771"/>
          </w:tcPr>
          <w:p>
            <w:r>
              <w:t>合作期 +2 年</w:t>
            </w:r>
          </w:p>
        </w:tc>
        <w:tc>
          <w:tcPr>
            <w:tcW w:type="dxa" w:w="2771"/>
          </w:tcPr>
          <w:p>
            <w:r/>
          </w:p>
        </w:tc>
      </w:tr>
    </w:tbl>
    <w:p/>
    <w:p>
      <w:r>
        <w:t>注：法律法规或客户有特殊要求的，按要求执行。</w:t>
      </w:r>
    </w:p>
    <w:p>
      <w:pPr>
        <w:pStyle w:val="Heading2"/>
      </w:pPr>
      <w:r>
        <w:t>5.7 记录的归档</w:t>
      </w:r>
    </w:p>
    <w:p>
      <w:pPr>
        <w:pStyle w:val="ListBullet"/>
      </w:pPr>
      <w:r>
        <w:t>记录保存满 1 年后，由各部门整理归档</w:t>
      </w:r>
    </w:p>
    <w:p>
      <w:pPr>
        <w:pStyle w:val="ListBullet"/>
      </w:pPr>
      <w:r>
        <w:t>填写《记录归档清单》（FM-008）</w:t>
      </w:r>
    </w:p>
    <w:p>
      <w:pPr>
        <w:pStyle w:val="ListBullet"/>
      </w:pPr>
      <w:r>
        <w:t>移交档案室统一保管</w:t>
      </w:r>
    </w:p>
    <w:p>
      <w:pPr>
        <w:pStyle w:val="ListBullet"/>
      </w:pPr>
      <w:r>
        <w:t>档案室验收后办理交接手续</w:t>
      </w:r>
    </w:p>
    <w:p/>
    <w:p>
      <w:pPr>
        <w:pStyle w:val="Heading2"/>
      </w:pPr>
      <w:r>
        <w:t>5.8 记录的借阅</w:t>
      </w:r>
    </w:p>
    <w:p>
      <w:pPr>
        <w:pStyle w:val="ListBullet"/>
      </w:pPr>
      <w:r>
        <w:t>借阅记录需填写《记录借阅登记表》（FM-009）</w:t>
      </w:r>
    </w:p>
    <w:p>
      <w:pPr>
        <w:pStyle w:val="ListBullet"/>
      </w:pPr>
      <w:r>
        <w:t>明确借阅人、借阅日期、归还日期</w:t>
      </w:r>
    </w:p>
    <w:p>
      <w:pPr>
        <w:pStyle w:val="ListBullet"/>
      </w:pPr>
      <w:r>
        <w:t>借阅期限一般不超过 7 天</w:t>
      </w:r>
    </w:p>
    <w:p>
      <w:pPr>
        <w:pStyle w:val="ListBullet"/>
      </w:pPr>
      <w:r>
        <w:t>涉密记录借阅需经部门负责人批准</w:t>
      </w:r>
    </w:p>
    <w:p>
      <w:pPr>
        <w:pStyle w:val="ListBullet"/>
      </w:pPr>
      <w:r>
        <w:t>借阅人应爱护记录，不得涂改、损坏、复制</w:t>
      </w:r>
    </w:p>
    <w:p>
      <w:pPr>
        <w:pStyle w:val="Heading2"/>
      </w:pPr>
      <w:r>
        <w:t>5.9 记录的处置</w:t>
      </w:r>
    </w:p>
    <w:p>
      <w:pPr>
        <w:pStyle w:val="Heading3"/>
      </w:pPr>
      <w:r>
        <w:t>5.9.1 到期处置</w:t>
      </w:r>
    </w:p>
    <w:p>
      <w:pPr>
        <w:pStyle w:val="ListBullet"/>
      </w:pPr>
      <w:r>
        <w:t>档案室每年初编制《到期记录清单》（FM-010）</w:t>
      </w:r>
    </w:p>
    <w:p>
      <w:pPr>
        <w:pStyle w:val="ListBullet"/>
      </w:pPr>
      <w:r>
        <w:t>质量部组织评审是否延长保存期</w:t>
      </w:r>
    </w:p>
    <w:p>
      <w:pPr>
        <w:pStyle w:val="ListBullet"/>
      </w:pPr>
      <w:r>
        <w:t>无需延长的，按规定销毁</w:t>
      </w:r>
    </w:p>
    <w:p>
      <w:pPr>
        <w:pStyle w:val="ListBullet"/>
      </w:pPr>
      <w:r>
        <w:t>需延长的，办理延期手续</w:t>
      </w:r>
    </w:p>
    <w:p>
      <w:pPr>
        <w:pStyle w:val="Heading3"/>
      </w:pPr>
      <w:r>
        <w:t>5.9.2 销毁方式</w:t>
      </w:r>
    </w:p>
    <w:p>
      <w:pPr>
        <w:pStyle w:val="ListBullet"/>
      </w:pPr>
      <w:r>
        <w:t>纸质记录：粉碎或焚烧</w:t>
      </w:r>
    </w:p>
    <w:p>
      <w:pPr>
        <w:pStyle w:val="ListBullet"/>
      </w:pPr>
      <w:r>
        <w:t>电子记录：彻底删除并清空回收站</w:t>
      </w:r>
    </w:p>
    <w:p>
      <w:pPr>
        <w:pStyle w:val="ListBullet"/>
      </w:pPr>
      <w:r>
        <w:t>填写《记录销毁记录表》（FM-011）</w:t>
      </w:r>
    </w:p>
    <w:p>
      <w:pPr>
        <w:pStyle w:val="ListBullet"/>
      </w:pPr>
      <w:r>
        <w:t>销毁人、监销人签字确认</w:t>
      </w:r>
    </w:p>
    <w:p/>
    <w:p>
      <w:pPr>
        <w:pStyle w:val="Heading1"/>
      </w:pPr>
      <w:r>
        <w:t>6. 相关文件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156"/>
        <w:gridCol w:w="4156"/>
      </w:tblGrid>
      <w:tr>
        <w:tc>
          <w:tcPr>
            <w:tcW w:type="dxa" w:w="4156"/>
          </w:tcPr>
          <w:p>
            <w:r>
              <w:t>文件编号</w:t>
            </w:r>
          </w:p>
        </w:tc>
        <w:tc>
          <w:tcPr>
            <w:tcW w:type="dxa" w:w="4156"/>
          </w:tcPr>
          <w:p>
            <w:r>
              <w:t>文件名称</w:t>
            </w:r>
          </w:p>
        </w:tc>
      </w:tr>
      <w:tr>
        <w:tc>
          <w:tcPr>
            <w:tcW w:type="dxa" w:w="4156"/>
          </w:tcPr>
          <w:p>
            <w:r>
              <w:t>QP-001</w:t>
            </w:r>
          </w:p>
        </w:tc>
        <w:tc>
          <w:tcPr>
            <w:tcW w:type="dxa" w:w="4156"/>
          </w:tcPr>
          <w:p>
            <w:r>
              <w:t>文件控制程序</w:t>
            </w:r>
          </w:p>
        </w:tc>
      </w:tr>
      <w:tr>
        <w:tc>
          <w:tcPr>
            <w:tcW w:type="dxa" w:w="4156"/>
          </w:tcPr>
          <w:p>
            <w:r>
              <w:t>QP-003</w:t>
            </w:r>
          </w:p>
        </w:tc>
        <w:tc>
          <w:tcPr>
            <w:tcW w:type="dxa" w:w="4156"/>
          </w:tcPr>
          <w:p>
            <w:r>
              <w:t>内部审核控制程序</w:t>
            </w:r>
          </w:p>
        </w:tc>
      </w:tr>
    </w:tbl>
    <w:p/>
    <w:p>
      <w:pPr>
        <w:pStyle w:val="Heading1"/>
      </w:pPr>
      <w:r>
        <w:t>7. 相关记录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71"/>
        <w:gridCol w:w="2771"/>
        <w:gridCol w:w="2771"/>
      </w:tblGrid>
      <w:tr>
        <w:tc>
          <w:tcPr>
            <w:tcW w:type="dxa" w:w="2771"/>
          </w:tcPr>
          <w:p>
            <w:r>
              <w:t>记录编号</w:t>
            </w:r>
          </w:p>
        </w:tc>
        <w:tc>
          <w:tcPr>
            <w:tcW w:type="dxa" w:w="2771"/>
          </w:tcPr>
          <w:p>
            <w:r>
              <w:t>记录名称</w:t>
            </w:r>
          </w:p>
        </w:tc>
        <w:tc>
          <w:tcPr>
            <w:tcW w:type="dxa" w:w="2771"/>
          </w:tcPr>
          <w:p>
            <w:r>
              <w:t>保存期限</w:t>
            </w:r>
          </w:p>
        </w:tc>
      </w:tr>
      <w:tr>
        <w:tc>
          <w:tcPr>
            <w:tcW w:type="dxa" w:w="2771"/>
          </w:tcPr>
          <w:p>
            <w:r>
              <w:t>FM-007</w:t>
            </w:r>
          </w:p>
        </w:tc>
        <w:tc>
          <w:tcPr>
            <w:tcW w:type="dxa" w:w="2771"/>
          </w:tcPr>
          <w:p>
            <w:r>
              <w:t>质量记录总清单</w:t>
            </w:r>
          </w:p>
        </w:tc>
        <w:tc>
          <w:tcPr>
            <w:tcW w:type="dxa" w:w="2771"/>
          </w:tcPr>
          <w:p>
            <w:r>
              <w:t>长期</w:t>
            </w:r>
          </w:p>
        </w:tc>
      </w:tr>
      <w:tr>
        <w:tc>
          <w:tcPr>
            <w:tcW w:type="dxa" w:w="2771"/>
          </w:tcPr>
          <w:p>
            <w:r>
              <w:t>FM-008</w:t>
            </w:r>
          </w:p>
        </w:tc>
        <w:tc>
          <w:tcPr>
            <w:tcW w:type="dxa" w:w="2771"/>
          </w:tcPr>
          <w:p>
            <w:r>
              <w:t>记录归档清单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</w:tr>
      <w:tr>
        <w:tc>
          <w:tcPr>
            <w:tcW w:type="dxa" w:w="2771"/>
          </w:tcPr>
          <w:p>
            <w:r>
              <w:t>FM-009</w:t>
            </w:r>
          </w:p>
        </w:tc>
        <w:tc>
          <w:tcPr>
            <w:tcW w:type="dxa" w:w="2771"/>
          </w:tcPr>
          <w:p>
            <w:r>
              <w:t>记录借阅登记表</w:t>
            </w:r>
          </w:p>
        </w:tc>
        <w:tc>
          <w:tcPr>
            <w:tcW w:type="dxa" w:w="2771"/>
          </w:tcPr>
          <w:p>
            <w:r>
              <w:t>1 年</w:t>
            </w:r>
          </w:p>
        </w:tc>
      </w:tr>
      <w:tr>
        <w:tc>
          <w:tcPr>
            <w:tcW w:type="dxa" w:w="2771"/>
          </w:tcPr>
          <w:p>
            <w:r>
              <w:t>FM-010</w:t>
            </w:r>
          </w:p>
        </w:tc>
        <w:tc>
          <w:tcPr>
            <w:tcW w:type="dxa" w:w="2771"/>
          </w:tcPr>
          <w:p>
            <w:r>
              <w:t>到期记录清单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</w:tr>
      <w:tr>
        <w:tc>
          <w:tcPr>
            <w:tcW w:type="dxa" w:w="2771"/>
          </w:tcPr>
          <w:p>
            <w:r>
              <w:t>FM-011</w:t>
            </w:r>
          </w:p>
        </w:tc>
        <w:tc>
          <w:tcPr>
            <w:tcW w:type="dxa" w:w="2771"/>
          </w:tcPr>
          <w:p>
            <w:r>
              <w:t>记录销毁记录表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</w:tr>
    </w:tbl>
    <w:p/>
    <w:p>
      <w:pPr>
        <w:pStyle w:val="Heading1"/>
      </w:pPr>
      <w:r>
        <w:t>8. 附录</w:t>
      </w:r>
    </w:p>
    <w:p>
      <w:pPr>
        <w:pStyle w:val="Heading2"/>
      </w:pPr>
      <w:r>
        <w:t>附录 A：记录管理流程图</w:t>
      </w:r>
    </w:p>
    <w:p>
      <w:r>
        <w:t>记录产生 → 填写 → 收集 → 整理 → 贮存 → 检索 → 归档 → 到期评审 → 销毁/延期</w:t>
      </w:r>
    </w:p>
    <w:p>
      <w:r>
        <w:t xml:space="preserve">                                              ↓</w:t>
      </w:r>
    </w:p>
    <w:p>
      <w:r>
        <w:t xml:space="preserve">                                        借阅登记 → 归还</w:t>
      </w:r>
    </w:p>
    <w:p>
      <w:pPr>
        <w:pStyle w:val="Heading2"/>
      </w:pPr>
      <w:r>
        <w:t>附录 B：记录保存期限一览表</w:t>
      </w:r>
    </w:p>
    <w:p>
      <w:r>
        <w:t>详见 5.6 条款表格</w:t>
      </w:r>
    </w:p>
    <w:p/>
    <w:p>
      <w:r>
        <w:t>编制：_______________    日期：_______________</w:t>
        <w:br/>
        <w:br/>
      </w:r>
      <w:r>
        <w:t>审核：_______________    日期：_______________</w:t>
        <w:br/>
        <w:br/>
      </w:r>
      <w:r>
        <w:t>批准：_______________    日期：_______________</w:t>
      </w:r>
    </w:p>
    <w:p/>
    <w:p>
      <w:pPr>
        <w:jc w:val="center"/>
      </w:pPr>
      <w:r>
        <w:rPr>
          <w:i/>
          <w:sz w:val="18"/>
        </w:rPr>
        <w:t>本文件为受控文件，未经许可不得复制或外传</w:t>
      </w:r>
    </w:p>
    <w:sectPr w:rsidR="00FC693F" w:rsidRPr="0006063C" w:rsidSect="00034616">
      <w:pgSz w:w="11906" w:h="16838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